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</w:rPr>
        <w:t>金税四期政策下的“经营架构设计及节税分析”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</w:rPr>
        <w:t>公益讲座回执表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2615"/>
        <w:gridCol w:w="2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1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</w:rPr>
              <w:t>企业名称</w:t>
            </w:r>
          </w:p>
        </w:tc>
        <w:tc>
          <w:tcPr>
            <w:tcW w:w="54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1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</w:rPr>
              <w:t>姓  名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</w:rPr>
              <w:t>职  务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</w:rPr>
              <w:t>手  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18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6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18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6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62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</w:rPr>
              <w:t>联系人：                   手机：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Times New Roman" w:hAnsi="Times New Roman" w:eastAsia="宋体" w:cs="Times New Roman"/>
          <w:b/>
          <w:bCs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701" w:bottom="170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zNlYTk0MDg3OGE1OWE3ZDQ5OGE0MDAwM2M1NDkifQ=="/>
  </w:docVars>
  <w:rsids>
    <w:rsidRoot w:val="731C2D1E"/>
    <w:rsid w:val="731C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2024-04-30T02:32:00Z</dcterms:created>
  <dc:creator>小小门牙</dc:creator>
  <cp:lastModifiedBy>小小门牙</cp:lastModifiedBy>
  <dcterms:modified xsi:type="dcterms:W3CDTF">2024-04-30T02:32:21Z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4F55D98562C947D4B41A061878D9273D_11</vt:lpwstr>
  </property>
</Properties>
</file>